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AB2" w:rsidRDefault="003F3AB2" w:rsidP="003F3AB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666666"/>
          <w:sz w:val="21"/>
          <w:szCs w:val="21"/>
        </w:rPr>
        <w:br/>
      </w:r>
      <w:bookmarkStart w:id="0" w:name="_GoBack"/>
      <w:r>
        <w:rPr>
          <w:rFonts w:ascii="Arial" w:hAnsi="Arial" w:cs="Arial"/>
          <w:b/>
          <w:bCs/>
          <w:color w:val="666666"/>
          <w:sz w:val="21"/>
          <w:szCs w:val="21"/>
          <w:shd w:val="clear" w:color="auto" w:fill="FFFFFF"/>
        </w:rPr>
        <w:t>НОВЫЕ ПРАВИЛА ГОСРЕГИСТРАЦИИ НЕДВИЖИМОСТИ</w:t>
      </w:r>
      <w:bookmarkEnd w:id="0"/>
      <w:r>
        <w:rPr>
          <w:rFonts w:ascii="Arial" w:hAnsi="Arial" w:cs="Arial"/>
          <w:color w:val="666666"/>
          <w:sz w:val="21"/>
          <w:szCs w:val="21"/>
        </w:rPr>
        <w:br/>
      </w:r>
    </w:p>
    <w:p w:rsidR="003F3AB2" w:rsidRDefault="003F3AB2" w:rsidP="003F3AB2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С 1 января 2017 г. вступает в силу Федеральный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hyperlink r:id="rId4" w:history="1">
        <w:r>
          <w:rPr>
            <w:rStyle w:val="a4"/>
            <w:rFonts w:ascii="Arial" w:hAnsi="Arial" w:cs="Arial"/>
            <w:color w:val="0066CC"/>
            <w:sz w:val="19"/>
            <w:szCs w:val="19"/>
          </w:rPr>
          <w:t>закон</w:t>
        </w:r>
      </w:hyperlink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>
        <w:rPr>
          <w:rFonts w:ascii="Arial" w:hAnsi="Arial" w:cs="Arial"/>
          <w:color w:val="000000"/>
          <w:sz w:val="19"/>
          <w:szCs w:val="19"/>
        </w:rPr>
        <w:t>от 13.07.2015 N 218-ФЗ "О государственной регистрации недвижимости" (далее – Закон № 218 - ФЗ), за исключением отдельных положений, для которых предусмотрены иные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hyperlink r:id="rId5" w:history="1">
        <w:r>
          <w:rPr>
            <w:rStyle w:val="a4"/>
            <w:rFonts w:ascii="Arial" w:hAnsi="Arial" w:cs="Arial"/>
            <w:color w:val="0066CC"/>
            <w:sz w:val="19"/>
            <w:szCs w:val="19"/>
          </w:rPr>
          <w:t>сроки</w:t>
        </w:r>
      </w:hyperlink>
      <w:r>
        <w:rPr>
          <w:rFonts w:ascii="Arial" w:hAnsi="Arial" w:cs="Arial"/>
          <w:color w:val="000000"/>
          <w:sz w:val="19"/>
          <w:szCs w:val="19"/>
        </w:rPr>
        <w:t xml:space="preserve">. Кадастровый учет недвижимости и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госрегистрация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прав на нее будут объединены в единую систему учета и регистрации.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 целях реализации положений Закона № 218 – ФЗ будет сформирован Единый государственный реестр недвижимости (далее - ЕГРН), который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hyperlink r:id="rId6" w:history="1">
        <w:r>
          <w:rPr>
            <w:rStyle w:val="a4"/>
            <w:rFonts w:ascii="Arial" w:hAnsi="Arial" w:cs="Arial"/>
            <w:color w:val="0066CC"/>
            <w:sz w:val="19"/>
            <w:szCs w:val="19"/>
          </w:rPr>
          <w:t>объединит</w:t>
        </w:r>
      </w:hyperlink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>
        <w:rPr>
          <w:rFonts w:ascii="Arial" w:hAnsi="Arial" w:cs="Arial"/>
          <w:color w:val="000000"/>
          <w:sz w:val="19"/>
          <w:szCs w:val="19"/>
        </w:rPr>
        <w:t>сведения, содержащиеся в настоящее время в кадастре недвижимости и ЕГРП.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hyperlink r:id="rId7" w:history="1">
        <w:r>
          <w:rPr>
            <w:rStyle w:val="a4"/>
            <w:rFonts w:ascii="Arial" w:hAnsi="Arial" w:cs="Arial"/>
            <w:color w:val="0066CC"/>
            <w:sz w:val="19"/>
            <w:szCs w:val="19"/>
          </w:rPr>
          <w:t>ЕГРН</w:t>
        </w:r>
      </w:hyperlink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>
        <w:rPr>
          <w:rFonts w:ascii="Arial" w:hAnsi="Arial" w:cs="Arial"/>
          <w:color w:val="000000"/>
          <w:sz w:val="19"/>
          <w:szCs w:val="19"/>
        </w:rPr>
        <w:t>войдут, в частности, реестр объектов недвижимости (кадастр недвижимости), реестр прав, их ограничений и обременений недвижимого имущества (реестр прав на недвижимость), а также реестр границ. Сведения о границах на сегодняшний день содержатся в кадастре недвижимости.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Вести ЕГРН будут в электронном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hyperlink r:id="rId8" w:history="1">
        <w:r>
          <w:rPr>
            <w:rStyle w:val="a4"/>
            <w:rFonts w:ascii="Arial" w:hAnsi="Arial" w:cs="Arial"/>
            <w:color w:val="0066CC"/>
            <w:sz w:val="19"/>
            <w:szCs w:val="19"/>
          </w:rPr>
          <w:t>виде</w:t>
        </w:r>
      </w:hyperlink>
      <w:r>
        <w:rPr>
          <w:rFonts w:ascii="Arial" w:hAnsi="Arial" w:cs="Arial"/>
          <w:color w:val="000000"/>
          <w:sz w:val="19"/>
          <w:szCs w:val="19"/>
        </w:rPr>
        <w:t>. Исключение составят реестровые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hyperlink r:id="rId9" w:history="1">
        <w:r>
          <w:rPr>
            <w:rStyle w:val="a4"/>
            <w:rFonts w:ascii="Arial" w:hAnsi="Arial" w:cs="Arial"/>
            <w:color w:val="0066CC"/>
            <w:sz w:val="19"/>
            <w:szCs w:val="19"/>
          </w:rPr>
          <w:t>дела</w:t>
        </w:r>
      </w:hyperlink>
      <w:r>
        <w:rPr>
          <w:rFonts w:ascii="Arial" w:hAnsi="Arial" w:cs="Arial"/>
          <w:color w:val="000000"/>
          <w:sz w:val="19"/>
          <w:szCs w:val="19"/>
        </w:rPr>
        <w:t xml:space="preserve">. В них на бумажном носителе будут храниться оформленные в простой письменной форме и представленные в бумажном виде заявления, а также документы, оригиналы которых отсутствуют в других органах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госвласти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>, органах местного самоуправления и архивах.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Согласно Закона № 218 - ФЗ в кадастр недвижимости будут вносить сведения о едином недвижимом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hyperlink r:id="rId10" w:history="1">
        <w:r>
          <w:rPr>
            <w:rStyle w:val="a4"/>
            <w:rFonts w:ascii="Arial" w:hAnsi="Arial" w:cs="Arial"/>
            <w:color w:val="0066CC"/>
            <w:sz w:val="19"/>
            <w:szCs w:val="19"/>
          </w:rPr>
          <w:t>комплексе</w:t>
        </w:r>
      </w:hyperlink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>
        <w:rPr>
          <w:rFonts w:ascii="Arial" w:hAnsi="Arial" w:cs="Arial"/>
          <w:color w:val="000000"/>
          <w:sz w:val="19"/>
          <w:szCs w:val="19"/>
        </w:rPr>
        <w:t>и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hyperlink r:id="rId11" w:history="1">
        <w:r>
          <w:rPr>
            <w:rStyle w:val="a4"/>
            <w:rFonts w:ascii="Arial" w:hAnsi="Arial" w:cs="Arial"/>
            <w:color w:val="0066CC"/>
            <w:sz w:val="19"/>
            <w:szCs w:val="19"/>
          </w:rPr>
          <w:t>предприятии</w:t>
        </w:r>
      </w:hyperlink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>
        <w:rPr>
          <w:rFonts w:ascii="Arial" w:hAnsi="Arial" w:cs="Arial"/>
          <w:color w:val="000000"/>
          <w:sz w:val="19"/>
          <w:szCs w:val="19"/>
        </w:rPr>
        <w:t>как имущественном комплексе.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При этом,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hyperlink r:id="rId12" w:history="1">
        <w:r>
          <w:rPr>
            <w:rStyle w:val="a4"/>
            <w:rFonts w:ascii="Arial" w:hAnsi="Arial" w:cs="Arial"/>
            <w:color w:val="0066CC"/>
            <w:sz w:val="19"/>
            <w:szCs w:val="19"/>
          </w:rPr>
          <w:t>зарегистрировать</w:t>
        </w:r>
      </w:hyperlink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>
        <w:rPr>
          <w:rFonts w:ascii="Arial" w:hAnsi="Arial" w:cs="Arial"/>
          <w:color w:val="000000"/>
          <w:sz w:val="19"/>
          <w:szCs w:val="19"/>
        </w:rPr>
        <w:t xml:space="preserve">право собственности на предприятие как имущественный комплекс можно будет только после учета и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госрегистрации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прав на каждый объект, который входит в его состав.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П</w:t>
      </w:r>
      <w:r>
        <w:rPr>
          <w:rFonts w:ascii="Arial" w:hAnsi="Arial" w:cs="Arial"/>
          <w:color w:val="000000"/>
          <w:sz w:val="19"/>
          <w:szCs w:val="19"/>
        </w:rPr>
        <w:t xml:space="preserve">роводить кадастровый учет недвижимости и регистрировать права на нее будет исключительно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Росреестр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и его территориальные органы.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Как и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hyperlink r:id="rId13" w:history="1">
        <w:r>
          <w:rPr>
            <w:rStyle w:val="a4"/>
            <w:rFonts w:ascii="Arial" w:hAnsi="Arial" w:cs="Arial"/>
            <w:color w:val="0066CC"/>
            <w:sz w:val="19"/>
            <w:szCs w:val="19"/>
          </w:rPr>
          <w:t>сейчас</w:t>
        </w:r>
      </w:hyperlink>
      <w:r>
        <w:rPr>
          <w:rFonts w:ascii="Arial" w:hAnsi="Arial" w:cs="Arial"/>
          <w:color w:val="000000"/>
          <w:sz w:val="19"/>
          <w:szCs w:val="19"/>
        </w:rPr>
        <w:t>, зарегистрировать права на объекты недвижимости по общему правилу будет невозможно, если они не учтены в кадастре недвижимости.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Согласно Федерального закона № 218 - ФЗ, если сведения об объекте недвижимости отсутствуют в ЕГРН, его учет в кадастре и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госрегистрация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прав будут осуществляться одновременно. Исключения составят ситуации, когда кадастровый учет может проводиться без одновременной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госрегистрации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и наоборот.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При этом, установлены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hyperlink r:id="rId14" w:history="1">
        <w:r>
          <w:rPr>
            <w:rStyle w:val="a4"/>
            <w:rFonts w:ascii="Arial" w:hAnsi="Arial" w:cs="Arial"/>
            <w:color w:val="0066CC"/>
            <w:sz w:val="19"/>
            <w:szCs w:val="19"/>
          </w:rPr>
          <w:t>случаи</w:t>
        </w:r>
      </w:hyperlink>
      <w:r>
        <w:rPr>
          <w:rFonts w:ascii="Arial" w:hAnsi="Arial" w:cs="Arial"/>
          <w:color w:val="000000"/>
          <w:sz w:val="19"/>
          <w:szCs w:val="19"/>
        </w:rPr>
        <w:t xml:space="preserve">, когда права на объекты недвижимости, сведения о которых имеются в ЕГРН, будут регистрироваться без проведения одновременного кадастрового учета. К их числу относятся, например,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госрегистрация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перехода права собственности, подтверждение ранее возникших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hyperlink r:id="rId15" w:history="1">
        <w:r>
          <w:rPr>
            <w:rStyle w:val="a4"/>
            <w:rFonts w:ascii="Arial" w:hAnsi="Arial" w:cs="Arial"/>
            <w:color w:val="0066CC"/>
            <w:sz w:val="19"/>
            <w:szCs w:val="19"/>
          </w:rPr>
          <w:t>прав</w:t>
        </w:r>
      </w:hyperlink>
      <w:r>
        <w:rPr>
          <w:rFonts w:ascii="Arial" w:hAnsi="Arial" w:cs="Arial"/>
          <w:color w:val="000000"/>
          <w:sz w:val="19"/>
          <w:szCs w:val="19"/>
        </w:rPr>
        <w:t>.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Федеральным законом № 218 – ФЗ установлен перечень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hyperlink r:id="rId16" w:history="1">
        <w:r>
          <w:rPr>
            <w:rStyle w:val="a4"/>
            <w:rFonts w:ascii="Arial" w:hAnsi="Arial" w:cs="Arial"/>
            <w:color w:val="0066CC"/>
            <w:sz w:val="19"/>
            <w:szCs w:val="19"/>
          </w:rPr>
          <w:t>лиц</w:t>
        </w:r>
      </w:hyperlink>
      <w:r>
        <w:rPr>
          <w:rFonts w:ascii="Arial" w:hAnsi="Arial" w:cs="Arial"/>
          <w:color w:val="000000"/>
          <w:sz w:val="19"/>
          <w:szCs w:val="19"/>
        </w:rPr>
        <w:t xml:space="preserve">, по заявлениям которых будут учитываться объекты недвижимости и регистрироваться права на них. Кто именно может подать документы, зависит от того, как проводится учет и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госрегистрация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- одновременно или раздельно.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Так, заявление в отношении созданного (т.е. построенного) объекта недвижимости может представить: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- собственник или иной правообладатель земельного участка, на котором расположен такой объект недвижимости, - при одновременном осуществлении учета и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госрегистрации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>;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- орган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госвласти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>, местного самоуправления или корпорация "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Росатом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", выдавшие разрешение на ввод объекта капстроительства в эксплуатацию, - при учете в кадастре без одновременной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госрегистрации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Заявление о кадастровом учете или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госрегистрации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и необходимые документы, можно будет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hyperlink r:id="rId17" w:history="1">
        <w:r>
          <w:rPr>
            <w:rStyle w:val="a4"/>
            <w:rFonts w:ascii="Arial" w:hAnsi="Arial" w:cs="Arial"/>
            <w:color w:val="0066CC"/>
            <w:sz w:val="19"/>
            <w:szCs w:val="19"/>
          </w:rPr>
          <w:t>представить</w:t>
        </w:r>
      </w:hyperlink>
      <w:r>
        <w:rPr>
          <w:rFonts w:ascii="Arial" w:hAnsi="Arial" w:cs="Arial"/>
          <w:color w:val="000000"/>
          <w:sz w:val="19"/>
          <w:szCs w:val="19"/>
        </w:rPr>
        <w:t>: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 xml:space="preserve">- в бумажном виде - лично (в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Росреестр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, через МФЦ, при выездном приеме) или по почте (в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Росреестр</w:t>
      </w:r>
      <w:proofErr w:type="spellEnd"/>
      <w:r>
        <w:rPr>
          <w:rFonts w:ascii="Arial" w:hAnsi="Arial" w:cs="Arial"/>
          <w:color w:val="000000"/>
          <w:sz w:val="19"/>
          <w:szCs w:val="19"/>
        </w:rPr>
        <w:t>);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- в форме электронных документов - через единый портал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госуслуг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или официальный сайт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Росреестра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При личном обращении место подачи заявления и документов не будет зависеть от места нахождения объекта недвижимости. Иными словами, можно обратиться (направить документы почтой) в любое подразделение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Росреестра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или подать документы лично через любой МФЦ.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proofErr w:type="spellStart"/>
      <w:r>
        <w:rPr>
          <w:rFonts w:ascii="Arial" w:hAnsi="Arial" w:cs="Arial"/>
          <w:color w:val="000000"/>
          <w:sz w:val="19"/>
          <w:szCs w:val="19"/>
        </w:rPr>
        <w:t>Росреестр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самостоятельно будет запрашивать учредительные документы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юрлица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, обратившегося за учетом объекта и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госрегистрацией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прав на него. Организация вправе подать такие документы по собственной инициативе.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 приеме документов будет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hyperlink r:id="rId18" w:history="1">
        <w:r>
          <w:rPr>
            <w:rStyle w:val="a4"/>
            <w:rFonts w:ascii="Arial" w:hAnsi="Arial" w:cs="Arial"/>
            <w:color w:val="0066CC"/>
            <w:sz w:val="19"/>
            <w:szCs w:val="19"/>
          </w:rPr>
          <w:t>отказано</w:t>
        </w:r>
      </w:hyperlink>
      <w:r>
        <w:rPr>
          <w:rFonts w:ascii="Arial" w:hAnsi="Arial" w:cs="Arial"/>
          <w:color w:val="000000"/>
          <w:sz w:val="19"/>
          <w:szCs w:val="19"/>
        </w:rPr>
        <w:t>, если не установлена личность заявителя, который непосредственно обратился с документами (например, не предъявлен паспорт).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Федеральным законом № 218 - ФЗ уточнен перечень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hyperlink r:id="rId19" w:history="1">
        <w:r>
          <w:rPr>
            <w:rStyle w:val="a4"/>
            <w:rFonts w:ascii="Arial" w:hAnsi="Arial" w:cs="Arial"/>
            <w:color w:val="0066CC"/>
            <w:sz w:val="19"/>
            <w:szCs w:val="19"/>
          </w:rPr>
          <w:t>оснований</w:t>
        </w:r>
      </w:hyperlink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>
        <w:rPr>
          <w:rFonts w:ascii="Arial" w:hAnsi="Arial" w:cs="Arial"/>
          <w:color w:val="000000"/>
          <w:sz w:val="19"/>
          <w:szCs w:val="19"/>
        </w:rPr>
        <w:t>для возврата заявления и документов без рассмотрения. К ним, относятся: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- несоответствие формата заявления и документов, представленных в электронном виде, установленному формату;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- наличие в заявлении и документах, которые представлены в бумажном виде, подчисток, приписок, зачеркиваний и других неоговоренных исправлений, в том числе выполненных карандашом, а также наличие повреждений, не позволяющих однозначно истолковать их содержание;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- отсутствие подписи заявителя в заявлении о кадастровом учете объекта или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госрегистрации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прав.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При этом общий срок осуществления учета объекта недвижимости в кадастре и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госрегистрации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прав сократится. При подаче документов в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Росреестр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он составит: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- 5 рабочих дней - для кадастрового учета;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- 10 рабочих дней - в случае одновременного проведения учета и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госрегистрации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>;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- 7 рабочих дней - для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госрегистрации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прав.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Если документы будут представляться через МФЦ, то сроки проведения кадастрового учета и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госрегистрации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прав увеличиваются на два рабочих дня.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Сохранен срок (5 рабочих дней), установленный для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госрегистрации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ипотеки жилых помещений.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При этом,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госрегистрация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ипотеки земельных участков, зданий, сооружений, нежилых помещений будет осуществляться в общий срок (7 рабочих дней) при условии представления документов в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Росреестр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 Однако он сократится до пяти рабочих дней, если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proofErr w:type="spellStart"/>
      <w:r>
        <w:rPr>
          <w:rFonts w:ascii="Arial" w:hAnsi="Arial" w:cs="Arial"/>
          <w:color w:val="000000"/>
          <w:sz w:val="19"/>
          <w:szCs w:val="19"/>
        </w:rPr>
        <w:fldChar w:fldCharType="begin"/>
      </w:r>
      <w:r>
        <w:rPr>
          <w:rFonts w:ascii="Arial" w:hAnsi="Arial" w:cs="Arial"/>
          <w:color w:val="000000"/>
          <w:sz w:val="19"/>
          <w:szCs w:val="19"/>
        </w:rPr>
        <w:instrText xml:space="preserve"> HYPERLINK "consultantplus://offline/ref=229410BDFD73CF1AB8BCD09CB4931DBD0B46075973DD90DF95261424F499873F5B041D55FAB43847CA46J" </w:instrText>
      </w:r>
      <w:r>
        <w:rPr>
          <w:rFonts w:ascii="Arial" w:hAnsi="Arial" w:cs="Arial"/>
          <w:color w:val="000000"/>
          <w:sz w:val="19"/>
          <w:szCs w:val="19"/>
        </w:rPr>
        <w:fldChar w:fldCharType="separate"/>
      </w:r>
      <w:r>
        <w:rPr>
          <w:rStyle w:val="a4"/>
          <w:rFonts w:ascii="Arial" w:hAnsi="Arial" w:cs="Arial"/>
          <w:color w:val="0066CC"/>
          <w:sz w:val="19"/>
          <w:szCs w:val="19"/>
        </w:rPr>
        <w:t>госрегистрация</w:t>
      </w:r>
      <w:r>
        <w:rPr>
          <w:rFonts w:ascii="Arial" w:hAnsi="Arial" w:cs="Arial"/>
          <w:color w:val="000000"/>
          <w:sz w:val="19"/>
          <w:szCs w:val="19"/>
        </w:rPr>
        <w:fldChar w:fldCharType="end"/>
      </w:r>
      <w:r>
        <w:rPr>
          <w:rFonts w:ascii="Arial" w:hAnsi="Arial" w:cs="Arial"/>
          <w:color w:val="000000"/>
          <w:sz w:val="19"/>
          <w:szCs w:val="19"/>
        </w:rPr>
        <w:t>будет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проводиться на основании нотариально удостоверенного договора ипотеки или нотариально заверенного договора, который влечет возникновение ипотеки в силу закона (например, договора купли-продажи недвижимости за счет кредитных средств банка).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На сегодняшний день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hyperlink r:id="rId20" w:history="1">
        <w:r>
          <w:rPr>
            <w:rStyle w:val="a4"/>
            <w:rFonts w:ascii="Arial" w:hAnsi="Arial" w:cs="Arial"/>
            <w:color w:val="0066CC"/>
            <w:sz w:val="19"/>
            <w:szCs w:val="19"/>
          </w:rPr>
          <w:t>срок</w:t>
        </w:r>
      </w:hyperlink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госрегистрации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ипотеки земельных участков, зданий, сооружений, нежилых помещений составляет 15 рабочих дней, а ипотеки жилых помещений - 5 рабочих дней.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Кадастровый учет,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госрегистрация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возникновения и перехода права будут подтверждаться выпиской из ЕГРН, а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госрегистрация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договора или иной сделки - специальным регистрационной надписью на документе, выражающем содержание сделки. Удостоверение проведенного учета и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госрегистрации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прав свидетельством новым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hyperlink r:id="rId21" w:history="1">
        <w:r>
          <w:rPr>
            <w:rStyle w:val="a4"/>
            <w:rFonts w:ascii="Arial" w:hAnsi="Arial" w:cs="Arial"/>
            <w:color w:val="0066CC"/>
            <w:sz w:val="19"/>
            <w:szCs w:val="19"/>
          </w:rPr>
          <w:t>Законом</w:t>
        </w:r>
      </w:hyperlink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>
        <w:rPr>
          <w:rFonts w:ascii="Arial" w:hAnsi="Arial" w:cs="Arial"/>
          <w:color w:val="000000"/>
          <w:sz w:val="19"/>
          <w:szCs w:val="19"/>
        </w:rPr>
        <w:t>не предусмотрено.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 xml:space="preserve">Ответственность за действия (бездействие) при проведении кадастрового учета и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госрегистрации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распределена между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Росреестром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госрегистратором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и другими лицами.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Так,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госрегистратор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несет ответственность за несоответствие внесенных им в ЕГРН сведений тем сведениям, которые содержатся в представленных документах (за исключением данных, внесенных из других информационных ресурсов), за необоснованное приостановление и отказ в кадастровом учете или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госрегистрации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прав или уклонение от их проведения.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proofErr w:type="spellStart"/>
      <w:r>
        <w:rPr>
          <w:rFonts w:ascii="Arial" w:hAnsi="Arial" w:cs="Arial"/>
          <w:color w:val="000000"/>
          <w:sz w:val="19"/>
          <w:szCs w:val="19"/>
        </w:rPr>
        <w:t>Росреестр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несет ответственность за ненадлежащее исполнение своих полномочий, в том числе за утрату и искажение сведений, которые содержатся в ЕГРН, полноту и достоверность предоставляемых сведений, незаконный отказ в кадастровом учете или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госрегистрации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прав, установленный вступившим в законную силу решением суда. При этом предусмотрены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hyperlink r:id="rId22" w:history="1">
        <w:r>
          <w:rPr>
            <w:rStyle w:val="a4"/>
            <w:rFonts w:ascii="Arial" w:hAnsi="Arial" w:cs="Arial"/>
            <w:color w:val="0066CC"/>
            <w:sz w:val="19"/>
            <w:szCs w:val="19"/>
          </w:rPr>
          <w:t>случаи</w:t>
        </w:r>
      </w:hyperlink>
      <w:r>
        <w:rPr>
          <w:rFonts w:ascii="Arial" w:hAnsi="Arial" w:cs="Arial"/>
          <w:color w:val="000000"/>
          <w:sz w:val="19"/>
          <w:szCs w:val="19"/>
        </w:rPr>
        <w:t xml:space="preserve">, когда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Росреестр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имеет право регрессного требования к органам и лицам, по вине которых допущены нарушения.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hyperlink r:id="rId23" w:history="1">
        <w:r>
          <w:rPr>
            <w:rStyle w:val="a4"/>
            <w:rFonts w:ascii="Arial" w:hAnsi="Arial" w:cs="Arial"/>
            <w:color w:val="0066CC"/>
            <w:sz w:val="19"/>
            <w:szCs w:val="19"/>
          </w:rPr>
          <w:t>Компенсация</w:t>
        </w:r>
      </w:hyperlink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>
        <w:rPr>
          <w:rFonts w:ascii="Arial" w:hAnsi="Arial" w:cs="Arial"/>
          <w:color w:val="000000"/>
          <w:sz w:val="19"/>
          <w:szCs w:val="19"/>
        </w:rPr>
        <w:t>за жилое помещение - единственное пригодное для постоянного проживания - выплачивается однократно собственнику, который по независящим от него причинам не вправе истребовать его от добросовестного приобретателя, а также добросовестному приобретателю, от которого оно было истребовано. Согласно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hyperlink r:id="rId24" w:history="1">
        <w:r>
          <w:rPr>
            <w:rStyle w:val="a4"/>
            <w:rFonts w:ascii="Arial" w:hAnsi="Arial" w:cs="Arial"/>
            <w:color w:val="0066CC"/>
            <w:sz w:val="19"/>
            <w:szCs w:val="19"/>
          </w:rPr>
          <w:t>Закону</w:t>
        </w:r>
      </w:hyperlink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>
        <w:rPr>
          <w:rFonts w:ascii="Arial" w:hAnsi="Arial" w:cs="Arial"/>
          <w:color w:val="000000"/>
          <w:sz w:val="19"/>
          <w:szCs w:val="19"/>
        </w:rPr>
        <w:t>условием ее выплаты является невозможность получить от третьих лиц возмещение, установленное вступившим в законную силу решением суда, по причине прекращения взыскания по исполнительному документу, например, в связи с внесением записи об исключении должника-организации из ЕГРЮЛ.</w:t>
      </w:r>
    </w:p>
    <w:p w:rsidR="003F3AB2" w:rsidRDefault="003F3AB2" w:rsidP="003F3AB2">
      <w:pPr>
        <w:pStyle w:val="a3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Положение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hyperlink r:id="rId25" w:history="1">
        <w:r>
          <w:rPr>
            <w:rStyle w:val="a4"/>
            <w:rFonts w:ascii="Arial" w:hAnsi="Arial" w:cs="Arial"/>
            <w:color w:val="0066CC"/>
            <w:sz w:val="19"/>
            <w:szCs w:val="19"/>
          </w:rPr>
          <w:t>Закона</w:t>
        </w:r>
      </w:hyperlink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>
        <w:rPr>
          <w:rFonts w:ascii="Arial" w:hAnsi="Arial" w:cs="Arial"/>
          <w:color w:val="000000"/>
          <w:sz w:val="19"/>
          <w:szCs w:val="19"/>
        </w:rPr>
        <w:t>о компенсации за утрату права, зарегистрированного в ЕГРН, вступает в силу с 1 января 2020 г.</w:t>
      </w:r>
    </w:p>
    <w:p w:rsidR="003F3AB2" w:rsidRDefault="003F3AB2"/>
    <w:sectPr w:rsidR="003F3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AB2"/>
    <w:rsid w:val="003F3AB2"/>
    <w:rsid w:val="004A6B8F"/>
    <w:rsid w:val="00CE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E90DC-5AAB-4EB8-A69A-1B44EDF4A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F3AB2"/>
  </w:style>
  <w:style w:type="character" w:styleId="a4">
    <w:name w:val="Hyperlink"/>
    <w:basedOn w:val="a0"/>
    <w:uiPriority w:val="99"/>
    <w:semiHidden/>
    <w:unhideWhenUsed/>
    <w:rsid w:val="003F3A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9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9410BDFD73CF1AB8BCD09CB4931DBD0B46075973DD90DF95261424F499873F5B041D55FAB43F45CA45J" TargetMode="External"/><Relationship Id="rId13" Type="http://schemas.openxmlformats.org/officeDocument/2006/relationships/hyperlink" Target="consultantplus://offline/ref=229410BDFD73CF1AB8BCD09CB4931DBD0B46065E71DC90DF95261424F499873F5B041D57FBCB4CJ" TargetMode="External"/><Relationship Id="rId18" Type="http://schemas.openxmlformats.org/officeDocument/2006/relationships/hyperlink" Target="consultantplus://offline/ref=229410BDFD73CF1AB8BCD09CB4931DBD0B46075973DD90DF95261424F499873F5B041D55FAB43D4ACA40J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29410BDFD73CF1AB8BCD09CB4931DBD0B46075973DD90DF95261424F4C949J" TargetMode="External"/><Relationship Id="rId7" Type="http://schemas.openxmlformats.org/officeDocument/2006/relationships/hyperlink" Target="consultantplus://offline/ref=229410BDFD73CF1AB8BCD09CB4931DBD0B46075973DD90DF95261424F499873F5B041D55FAB43F46CA40J" TargetMode="External"/><Relationship Id="rId12" Type="http://schemas.openxmlformats.org/officeDocument/2006/relationships/hyperlink" Target="consultantplus://offline/ref=229410BDFD73CF1AB8BCD09CB4931DBD0B46075973DD90DF95261424F499873F5B041D55FAB43944CA44J" TargetMode="External"/><Relationship Id="rId17" Type="http://schemas.openxmlformats.org/officeDocument/2006/relationships/hyperlink" Target="consultantplus://offline/ref=229410BDFD73CF1AB8BCD09CB4931DBD0B46075973DD90DF95261424F499873F5B041D55FAB43D44CA45J" TargetMode="External"/><Relationship Id="rId25" Type="http://schemas.openxmlformats.org/officeDocument/2006/relationships/hyperlink" Target="consultantplus://offline/ref=229410BDFD73CF1AB8BCD09CB4931DBD0B46075973DD90DF95261424F4C949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29410BDFD73CF1AB8BCD09CB4931DBD0B46075973DD90DF95261424F499873F5B041D55FAB43D41CA42J" TargetMode="External"/><Relationship Id="rId20" Type="http://schemas.openxmlformats.org/officeDocument/2006/relationships/hyperlink" Target="consultantplus://offline/ref=229410BDFD73CF1AB8BCD09CB4931DBD0B46065E71DC90DF95261424F499873F5B041D57FCCB47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29410BDFD73CF1AB8BCD09CB4931DBD0B46075973DD90DF95261424F499873F5B041D55FAB43640CA43J" TargetMode="External"/><Relationship Id="rId11" Type="http://schemas.openxmlformats.org/officeDocument/2006/relationships/hyperlink" Target="consultantplus://offline/ref=229410BDFD73CF1AB8BCD09CB4931DBD0B46075874DC90DF95261424F499873F5B041D55FAB43743CA42J" TargetMode="External"/><Relationship Id="rId24" Type="http://schemas.openxmlformats.org/officeDocument/2006/relationships/hyperlink" Target="consultantplus://offline/ref=229410BDFD73CF1AB8BCD09CB4931DBD0B46075973DD90DF95261424F499873F5B041D55FAB4374BCA41J" TargetMode="External"/><Relationship Id="rId5" Type="http://schemas.openxmlformats.org/officeDocument/2006/relationships/hyperlink" Target="consultantplus://offline/ref=229410BDFD73CF1AB8BCD09CB4931DBD0B46075973DD90DF95261424F499873F5B041D55FAB43640CA47J" TargetMode="External"/><Relationship Id="rId15" Type="http://schemas.openxmlformats.org/officeDocument/2006/relationships/hyperlink" Target="consultantplus://offline/ref=229410BDFD73CF1AB8BCD09CB4931DBD0B46075973DD90DF95261424F499873F5B041D55FAB4374ACA46J" TargetMode="External"/><Relationship Id="rId23" Type="http://schemas.openxmlformats.org/officeDocument/2006/relationships/hyperlink" Target="consultantplus://offline/ref=229410BDFD73CF1AB8BCD09CB4931DBD0B46075973DD90DF95261424F499873F5B041D55FAB4374BCA47J" TargetMode="External"/><Relationship Id="rId10" Type="http://schemas.openxmlformats.org/officeDocument/2006/relationships/hyperlink" Target="consultantplus://offline/ref=229410BDFD73CF1AB8BCD09CB4931DBD0B46075874DC90DF95261424F499873F5B041D51FCCB41J" TargetMode="External"/><Relationship Id="rId19" Type="http://schemas.openxmlformats.org/officeDocument/2006/relationships/hyperlink" Target="consultantplus://offline/ref=229410BDFD73CF1AB8BCD09CB4931DBD0B46075973DD90DF95261424F499873F5B041D55FAB43C44CA46J" TargetMode="External"/><Relationship Id="rId4" Type="http://schemas.openxmlformats.org/officeDocument/2006/relationships/hyperlink" Target="consultantplus://offline/ref=229410BDFD73CF1AB8BCD09CB4931DBD0B46075973DD90DF95261424F4C949J" TargetMode="External"/><Relationship Id="rId9" Type="http://schemas.openxmlformats.org/officeDocument/2006/relationships/hyperlink" Target="consultantplus://offline/ref=229410BDFD73CF1AB8BCD09CB4931DBD0B46075973DD90DF95261424F499873F5B041D55FAB43E44CA42J" TargetMode="External"/><Relationship Id="rId14" Type="http://schemas.openxmlformats.org/officeDocument/2006/relationships/hyperlink" Target="consultantplus://offline/ref=229410BDFD73CF1AB8BCD09CB4931DBD0B46075973DD90DF95261424F499873F5B041D55FAB43D43CA4CJ" TargetMode="External"/><Relationship Id="rId22" Type="http://schemas.openxmlformats.org/officeDocument/2006/relationships/hyperlink" Target="consultantplus://offline/ref=229410BDFD73CF1AB8BCD09CB4931DBD0B46075973DD90DF95261424F499873F5B041D55FAB43744CA41J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1606</Words>
  <Characters>9158</Characters>
  <Application>Microsoft Office Word</Application>
  <DocSecurity>0</DocSecurity>
  <Lines>76</Lines>
  <Paragraphs>21</Paragraphs>
  <ScaleCrop>false</ScaleCrop>
  <Company/>
  <LinksUpToDate>false</LinksUpToDate>
  <CharactersWithSpaces>10743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Иваровская О.А.</dc:creator>
  <cp:keywords/>
  <dc:description/>
  <cp:lastModifiedBy>Иваровская О.А.</cp:lastModifiedBy>
  <cp:revision>1</cp:revision>
  <dcterms:created xsi:type="dcterms:W3CDTF">2016-04-11T02:36:00Z</dcterms:created>
  <dcterms:modified xsi:type="dcterms:W3CDTF">2016-04-11T02:38:00Z</dcterms:modified>
</cp:coreProperties>
</file>